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D27D9" w14:textId="77777777" w:rsidR="00151697" w:rsidRDefault="00151697" w:rsidP="006477D0">
      <w:pPr>
        <w:jc w:val="center"/>
        <w:rPr>
          <w:rFonts w:asciiTheme="minorEastAsia" w:hAnsiTheme="minorEastAsia"/>
          <w:sz w:val="72"/>
          <w:szCs w:val="72"/>
        </w:rPr>
      </w:pPr>
    </w:p>
    <w:p w14:paraId="588F6D58" w14:textId="352D354C" w:rsidR="00151697" w:rsidRPr="006010A0" w:rsidRDefault="006477D0" w:rsidP="006477D0">
      <w:pPr>
        <w:jc w:val="center"/>
        <w:rPr>
          <w:rFonts w:asciiTheme="minorEastAsia" w:hAnsiTheme="minorEastAsia"/>
          <w:sz w:val="56"/>
          <w:szCs w:val="56"/>
        </w:rPr>
      </w:pPr>
      <w:r w:rsidRPr="006010A0">
        <w:rPr>
          <w:rFonts w:asciiTheme="minorEastAsia" w:hAnsiTheme="minorEastAsia"/>
          <w:sz w:val="56"/>
          <w:szCs w:val="56"/>
        </w:rPr>
        <w:t>DNAシーケンサー</w:t>
      </w:r>
      <w:r w:rsidR="00151697" w:rsidRPr="006010A0">
        <w:rPr>
          <w:rFonts w:asciiTheme="minorEastAsia" w:hAnsiTheme="minorEastAsia" w:hint="eastAsia"/>
          <w:sz w:val="56"/>
          <w:szCs w:val="56"/>
        </w:rPr>
        <w:t xml:space="preserve">　</w:t>
      </w:r>
      <w:r w:rsidRPr="006010A0">
        <w:rPr>
          <w:rFonts w:asciiTheme="minorEastAsia" w:hAnsiTheme="minorEastAsia"/>
          <w:sz w:val="56"/>
          <w:szCs w:val="56"/>
        </w:rPr>
        <w:t>一式</w:t>
      </w:r>
    </w:p>
    <w:p w14:paraId="7A614D63" w14:textId="01E2D517" w:rsidR="00151697" w:rsidRPr="006010A0" w:rsidRDefault="00151697" w:rsidP="006477D0">
      <w:pPr>
        <w:jc w:val="center"/>
        <w:rPr>
          <w:rFonts w:asciiTheme="minorEastAsia" w:hAnsiTheme="minorEastAsia"/>
          <w:sz w:val="56"/>
          <w:szCs w:val="56"/>
        </w:rPr>
      </w:pPr>
    </w:p>
    <w:p w14:paraId="76158C39" w14:textId="789D2B99" w:rsidR="00151697" w:rsidRPr="006010A0" w:rsidRDefault="00151697" w:rsidP="006477D0">
      <w:pPr>
        <w:jc w:val="center"/>
        <w:rPr>
          <w:rFonts w:asciiTheme="minorEastAsia" w:hAnsiTheme="minorEastAsia"/>
          <w:sz w:val="56"/>
          <w:szCs w:val="56"/>
        </w:rPr>
      </w:pPr>
      <w:r w:rsidRPr="006010A0">
        <w:rPr>
          <w:rFonts w:asciiTheme="minorEastAsia" w:hAnsiTheme="minorEastAsia" w:hint="eastAsia"/>
          <w:sz w:val="56"/>
          <w:szCs w:val="56"/>
        </w:rPr>
        <w:t>仕様書</w:t>
      </w:r>
    </w:p>
    <w:p w14:paraId="409E8930" w14:textId="40469D34" w:rsidR="00151697" w:rsidRDefault="00151697" w:rsidP="006477D0">
      <w:pPr>
        <w:jc w:val="center"/>
        <w:rPr>
          <w:rFonts w:asciiTheme="minorEastAsia" w:hAnsiTheme="minorEastAsia"/>
          <w:sz w:val="72"/>
          <w:szCs w:val="72"/>
        </w:rPr>
      </w:pPr>
    </w:p>
    <w:p w14:paraId="70099DEB" w14:textId="3BFC2BE5" w:rsidR="00151697" w:rsidRDefault="00151697" w:rsidP="006477D0">
      <w:pPr>
        <w:jc w:val="center"/>
        <w:rPr>
          <w:rFonts w:asciiTheme="minorEastAsia" w:hAnsiTheme="minorEastAsia"/>
          <w:sz w:val="72"/>
          <w:szCs w:val="72"/>
        </w:rPr>
      </w:pPr>
    </w:p>
    <w:p w14:paraId="542CBCD8" w14:textId="2C3AA895" w:rsidR="00151697" w:rsidRDefault="00151697" w:rsidP="006477D0">
      <w:pPr>
        <w:jc w:val="center"/>
        <w:rPr>
          <w:rFonts w:asciiTheme="minorEastAsia" w:hAnsiTheme="minorEastAsia"/>
          <w:sz w:val="72"/>
          <w:szCs w:val="72"/>
        </w:rPr>
      </w:pPr>
    </w:p>
    <w:p w14:paraId="61622209" w14:textId="77777777" w:rsidR="006010A0" w:rsidRDefault="006010A0" w:rsidP="006477D0">
      <w:pPr>
        <w:jc w:val="center"/>
        <w:rPr>
          <w:rFonts w:asciiTheme="minorEastAsia" w:hAnsiTheme="minorEastAsia" w:hint="eastAsia"/>
          <w:sz w:val="72"/>
          <w:szCs w:val="72"/>
        </w:rPr>
      </w:pPr>
    </w:p>
    <w:p w14:paraId="549A6649" w14:textId="77777777" w:rsidR="00151697" w:rsidRPr="00151697" w:rsidRDefault="00151697" w:rsidP="006477D0">
      <w:pPr>
        <w:jc w:val="center"/>
        <w:rPr>
          <w:rFonts w:asciiTheme="minorEastAsia" w:hAnsiTheme="minorEastAsia" w:hint="eastAsia"/>
          <w:sz w:val="72"/>
          <w:szCs w:val="72"/>
        </w:rPr>
      </w:pPr>
    </w:p>
    <w:p w14:paraId="6A0780CF" w14:textId="77C8EEC2" w:rsidR="00151697" w:rsidRPr="006010A0" w:rsidRDefault="00151697" w:rsidP="006477D0">
      <w:pPr>
        <w:jc w:val="center"/>
        <w:rPr>
          <w:rFonts w:asciiTheme="minorEastAsia" w:hAnsiTheme="minorEastAsia"/>
          <w:sz w:val="40"/>
          <w:szCs w:val="72"/>
        </w:rPr>
      </w:pPr>
      <w:r w:rsidRPr="006010A0">
        <w:rPr>
          <w:rFonts w:asciiTheme="minorEastAsia" w:hAnsiTheme="minorEastAsia" w:hint="eastAsia"/>
          <w:sz w:val="40"/>
          <w:szCs w:val="72"/>
        </w:rPr>
        <w:t>令和4年11月</w:t>
      </w:r>
    </w:p>
    <w:p w14:paraId="727C77D1" w14:textId="6BAA4512" w:rsidR="00151697" w:rsidRPr="006010A0" w:rsidRDefault="00151697" w:rsidP="006477D0">
      <w:pPr>
        <w:jc w:val="center"/>
        <w:rPr>
          <w:rFonts w:asciiTheme="minorEastAsia" w:hAnsiTheme="minorEastAsia"/>
          <w:sz w:val="40"/>
          <w:szCs w:val="72"/>
        </w:rPr>
      </w:pPr>
      <w:r w:rsidRPr="006010A0">
        <w:rPr>
          <w:rFonts w:asciiTheme="minorEastAsia" w:hAnsiTheme="minorEastAsia" w:hint="eastAsia"/>
          <w:sz w:val="40"/>
          <w:szCs w:val="72"/>
        </w:rPr>
        <w:t>地方独立行政法人大阪府立病院機構</w:t>
      </w:r>
    </w:p>
    <w:p w14:paraId="4EF732E3" w14:textId="365DA1AD" w:rsidR="00151697" w:rsidRPr="00151697" w:rsidRDefault="00151697" w:rsidP="00151697">
      <w:pPr>
        <w:jc w:val="center"/>
        <w:rPr>
          <w:rFonts w:asciiTheme="minorEastAsia" w:hAnsiTheme="minorEastAsia"/>
          <w:sz w:val="44"/>
          <w:szCs w:val="72"/>
        </w:rPr>
      </w:pPr>
      <w:r w:rsidRPr="006010A0">
        <w:rPr>
          <w:rFonts w:asciiTheme="minorEastAsia" w:hAnsiTheme="minorEastAsia" w:hint="eastAsia"/>
          <w:sz w:val="40"/>
          <w:szCs w:val="72"/>
        </w:rPr>
        <w:t>大阪母子医療センター</w:t>
      </w:r>
      <w:r>
        <w:br w:type="page"/>
      </w:r>
    </w:p>
    <w:p w14:paraId="4A13BF76" w14:textId="77777777" w:rsidR="00151697" w:rsidRDefault="006477D0" w:rsidP="006477D0">
      <w:pPr>
        <w:jc w:val="left"/>
      </w:pPr>
      <w:r w:rsidRPr="006477D0">
        <w:rPr>
          <w:rFonts w:hint="eastAsia"/>
        </w:rPr>
        <w:lastRenderedPageBreak/>
        <w:t>１．</w:t>
      </w:r>
      <w:r w:rsidR="00151697">
        <w:rPr>
          <w:rFonts w:hint="eastAsia"/>
        </w:rPr>
        <w:t>調達物品及び構成内訳</w:t>
      </w:r>
    </w:p>
    <w:p w14:paraId="04BAA417" w14:textId="303808D8" w:rsidR="006477D0" w:rsidRPr="006477D0" w:rsidRDefault="006477D0" w:rsidP="00151697">
      <w:pPr>
        <w:ind w:firstLine="840"/>
        <w:jc w:val="left"/>
      </w:pPr>
      <w:r w:rsidRPr="006477D0">
        <w:rPr>
          <w:rFonts w:hint="eastAsia"/>
        </w:rPr>
        <w:t>キャピラリー</w:t>
      </w:r>
      <w:r w:rsidRPr="006477D0">
        <w:t>DNA</w:t>
      </w:r>
      <w:r w:rsidRPr="006477D0">
        <w:rPr>
          <w:rFonts w:hint="eastAsia"/>
        </w:rPr>
        <w:t>シーケンサー</w:t>
      </w:r>
      <w:r w:rsidR="003B5A50">
        <w:rPr>
          <w:rFonts w:hint="eastAsia"/>
        </w:rPr>
        <w:t xml:space="preserve">　</w:t>
      </w:r>
      <w:r w:rsidRPr="006477D0">
        <w:rPr>
          <w:rFonts w:hint="eastAsia"/>
        </w:rPr>
        <w:t>一式</w:t>
      </w:r>
    </w:p>
    <w:p w14:paraId="0735C380" w14:textId="51238377" w:rsidR="006477D0" w:rsidRPr="006477D0" w:rsidRDefault="00151697" w:rsidP="006010A0">
      <w:pPr>
        <w:ind w:firstLineChars="135" w:firstLine="283"/>
        <w:jc w:val="left"/>
      </w:pPr>
      <w:r>
        <w:rPr>
          <w:rFonts w:hint="eastAsia"/>
        </w:rPr>
        <w:t>【</w:t>
      </w:r>
      <w:r w:rsidRPr="006477D0">
        <w:rPr>
          <w:rFonts w:hint="eastAsia"/>
        </w:rPr>
        <w:t>構成内訳</w:t>
      </w:r>
      <w:r>
        <w:rPr>
          <w:rFonts w:hint="eastAsia"/>
        </w:rPr>
        <w:t>】</w:t>
      </w:r>
    </w:p>
    <w:p w14:paraId="3499C15E" w14:textId="0F7E134D" w:rsidR="006477D0" w:rsidRPr="006477D0" w:rsidRDefault="006477D0" w:rsidP="006010A0">
      <w:pPr>
        <w:ind w:firstLineChars="337" w:firstLine="708"/>
        <w:jc w:val="left"/>
      </w:pPr>
      <w:r w:rsidRPr="006477D0">
        <w:rPr>
          <w:rFonts w:hint="eastAsia"/>
        </w:rPr>
        <w:t>（</w:t>
      </w:r>
      <w:r w:rsidRPr="006477D0">
        <w:t>1</w:t>
      </w:r>
      <w:r w:rsidRPr="006477D0">
        <w:rPr>
          <w:rFonts w:hint="eastAsia"/>
        </w:rPr>
        <w:t>）シーケンサー本体</w:t>
      </w:r>
      <w:r w:rsidR="00635288">
        <w:rPr>
          <w:rFonts w:hint="eastAsia"/>
        </w:rPr>
        <w:t xml:space="preserve">　</w:t>
      </w:r>
      <w:r w:rsidRPr="006477D0">
        <w:t>1</w:t>
      </w:r>
      <w:r w:rsidR="00635288">
        <w:rPr>
          <w:rFonts w:hint="eastAsia"/>
        </w:rPr>
        <w:t>台</w:t>
      </w:r>
    </w:p>
    <w:p w14:paraId="099C1203" w14:textId="273BFA65" w:rsidR="006477D0" w:rsidRPr="006477D0" w:rsidRDefault="006477D0" w:rsidP="006010A0">
      <w:pPr>
        <w:ind w:firstLineChars="337" w:firstLine="708"/>
        <w:jc w:val="left"/>
      </w:pPr>
      <w:r w:rsidRPr="006477D0">
        <w:rPr>
          <w:rFonts w:hint="eastAsia"/>
        </w:rPr>
        <w:t>（</w:t>
      </w:r>
      <w:r w:rsidRPr="006477D0">
        <w:t>2</w:t>
      </w:r>
      <w:r w:rsidRPr="006477D0">
        <w:rPr>
          <w:rFonts w:hint="eastAsia"/>
        </w:rPr>
        <w:t>）制御解析用コンピュータ</w:t>
      </w:r>
      <w:r w:rsidR="00635288">
        <w:rPr>
          <w:rFonts w:hint="eastAsia"/>
        </w:rPr>
        <w:t xml:space="preserve">　</w:t>
      </w:r>
      <w:r w:rsidRPr="006477D0">
        <w:t>1</w:t>
      </w:r>
      <w:r w:rsidR="00635288">
        <w:rPr>
          <w:rFonts w:hint="eastAsia"/>
        </w:rPr>
        <w:t>台</w:t>
      </w:r>
    </w:p>
    <w:p w14:paraId="436BAEEB" w14:textId="339CF446" w:rsidR="006477D0" w:rsidRPr="006477D0" w:rsidRDefault="006477D0" w:rsidP="006010A0">
      <w:pPr>
        <w:ind w:firstLineChars="337" w:firstLine="708"/>
        <w:jc w:val="left"/>
      </w:pPr>
      <w:r w:rsidRPr="006477D0">
        <w:rPr>
          <w:rFonts w:hint="eastAsia"/>
        </w:rPr>
        <w:t>（</w:t>
      </w:r>
      <w:r w:rsidRPr="006477D0">
        <w:t>3</w:t>
      </w:r>
      <w:r w:rsidRPr="006477D0">
        <w:rPr>
          <w:rFonts w:hint="eastAsia"/>
        </w:rPr>
        <w:t>）ソフトウェア</w:t>
      </w:r>
      <w:bookmarkStart w:id="0" w:name="_GoBack"/>
      <w:bookmarkEnd w:id="0"/>
    </w:p>
    <w:p w14:paraId="15223F32" w14:textId="5A774B2A" w:rsidR="006477D0" w:rsidRDefault="006477D0" w:rsidP="006010A0">
      <w:pPr>
        <w:ind w:firstLineChars="337" w:firstLine="708"/>
        <w:jc w:val="left"/>
      </w:pPr>
      <w:r w:rsidRPr="006477D0">
        <w:rPr>
          <w:rFonts w:hint="eastAsia"/>
        </w:rPr>
        <w:t>上記の他、搬入、据付、調整等一式を含む</w:t>
      </w:r>
    </w:p>
    <w:p w14:paraId="2D8B696B" w14:textId="77777777" w:rsidR="00151697" w:rsidRDefault="00151697" w:rsidP="006010A0">
      <w:pPr>
        <w:ind w:firstLineChars="337" w:firstLine="708"/>
        <w:jc w:val="left"/>
        <w:rPr>
          <w:rFonts w:hint="eastAsia"/>
        </w:rPr>
      </w:pPr>
    </w:p>
    <w:p w14:paraId="5DDF2220" w14:textId="55E14A80" w:rsidR="006477D0" w:rsidRPr="006477D0" w:rsidRDefault="003B5A50" w:rsidP="006477D0">
      <w:pPr>
        <w:jc w:val="left"/>
      </w:pPr>
      <w:r>
        <w:rPr>
          <w:rFonts w:hint="eastAsia"/>
        </w:rPr>
        <w:t>２．</w:t>
      </w:r>
      <w:r w:rsidR="006477D0" w:rsidRPr="006477D0">
        <w:t>性能、機能に関する要件＞</w:t>
      </w:r>
    </w:p>
    <w:p w14:paraId="505CF787" w14:textId="77777777" w:rsidR="006010A0" w:rsidRDefault="006477D0" w:rsidP="006010A0">
      <w:pPr>
        <w:ind w:leftChars="1" w:left="424" w:hangingChars="201" w:hanging="422"/>
        <w:jc w:val="left"/>
      </w:pPr>
      <w:r w:rsidRPr="006477D0">
        <w:t xml:space="preserve">(1) </w:t>
      </w:r>
      <w:r w:rsidRPr="006477D0">
        <w:t>シーケンサー本体</w:t>
      </w:r>
    </w:p>
    <w:p w14:paraId="542D11F8" w14:textId="48E33B0B" w:rsidR="006477D0" w:rsidRPr="006477D0" w:rsidRDefault="006477D0" w:rsidP="00936988">
      <w:pPr>
        <w:ind w:leftChars="136" w:left="708" w:hangingChars="201" w:hanging="422"/>
        <w:jc w:val="left"/>
      </w:pPr>
      <w:r w:rsidRPr="006477D0">
        <w:t xml:space="preserve">1-1 </w:t>
      </w:r>
      <w:r w:rsidRPr="006477D0">
        <w:t>キャピラリー電気泳動部は、蛍光ジデオキシ法により得られた４色の蛍光で標識された反応生成物を、</w:t>
      </w:r>
      <w:r w:rsidRPr="006477D0">
        <w:t>4</w:t>
      </w:r>
      <w:r w:rsidRPr="006477D0">
        <w:t>本キャピラリーで同時電気泳動・解析を行なえる。</w:t>
      </w:r>
    </w:p>
    <w:p w14:paraId="601749F5" w14:textId="77777777" w:rsidR="006477D0" w:rsidRPr="006477D0" w:rsidRDefault="006477D0" w:rsidP="00936988">
      <w:pPr>
        <w:ind w:leftChars="136" w:left="708" w:hangingChars="201" w:hanging="422"/>
        <w:jc w:val="left"/>
      </w:pPr>
      <w:r w:rsidRPr="006477D0">
        <w:t xml:space="preserve">1-2 </w:t>
      </w:r>
      <w:r w:rsidRPr="006477D0">
        <w:t>複数のアプリケーションの解析を、同一キャピラリー、ポリマーを使用して行なうことができる。</w:t>
      </w:r>
    </w:p>
    <w:p w14:paraId="787D274C" w14:textId="77777777" w:rsidR="006477D0" w:rsidRPr="0065044E" w:rsidRDefault="006477D0" w:rsidP="00936988">
      <w:pPr>
        <w:ind w:leftChars="136" w:left="708" w:hangingChars="201" w:hanging="422"/>
        <w:jc w:val="left"/>
      </w:pPr>
      <w:r w:rsidRPr="0065044E">
        <w:t xml:space="preserve">1-3 </w:t>
      </w:r>
      <w:r w:rsidRPr="0065044E">
        <w:t>キャピラリー・ポリマー・バッファー・ポンプを内蔵したカートリッジタイプの消耗品を用いる。</w:t>
      </w:r>
    </w:p>
    <w:p w14:paraId="74599301" w14:textId="2C32BA47" w:rsidR="006477D0" w:rsidRPr="006477D0" w:rsidRDefault="006477D0" w:rsidP="00936988">
      <w:pPr>
        <w:ind w:leftChars="136" w:left="708" w:hangingChars="201" w:hanging="422"/>
        <w:jc w:val="left"/>
      </w:pPr>
      <w:r w:rsidRPr="006477D0">
        <w:t>1-4</w:t>
      </w:r>
      <w:r w:rsidR="00936988">
        <w:t xml:space="preserve"> </w:t>
      </w:r>
      <w:r w:rsidRPr="006477D0">
        <w:t>ポリマー・ゲルポンプには、自動ポリマー充填システムを採用している。</w:t>
      </w:r>
    </w:p>
    <w:p w14:paraId="2B698C12" w14:textId="3120F496" w:rsidR="006477D0" w:rsidRPr="0065044E" w:rsidRDefault="006477D0" w:rsidP="00936988">
      <w:pPr>
        <w:ind w:leftChars="136" w:left="708" w:hangingChars="201" w:hanging="422"/>
        <w:jc w:val="left"/>
      </w:pPr>
      <w:r w:rsidRPr="0065044E">
        <w:t>1-5</w:t>
      </w:r>
      <w:r w:rsidR="00936988">
        <w:t xml:space="preserve"> </w:t>
      </w:r>
      <w:r w:rsidRPr="0065044E">
        <w:t>サンプルトレイには、</w:t>
      </w:r>
      <w:r w:rsidRPr="0065044E">
        <w:t>0.2</w:t>
      </w:r>
      <w:r w:rsidRPr="0065044E">
        <w:t>ｍＬの</w:t>
      </w:r>
      <w:r w:rsidRPr="0065044E">
        <w:t>96</w:t>
      </w:r>
      <w:r w:rsidRPr="0065044E">
        <w:t>ウェルプレートまたは</w:t>
      </w:r>
      <w:r w:rsidRPr="0065044E">
        <w:t>8</w:t>
      </w:r>
      <w:r w:rsidRPr="0065044E">
        <w:t>連チューブをセットできる。</w:t>
      </w:r>
    </w:p>
    <w:p w14:paraId="0B2F4803" w14:textId="5853DA35" w:rsidR="006477D0" w:rsidRDefault="006477D0" w:rsidP="00936988">
      <w:pPr>
        <w:ind w:leftChars="136" w:left="708" w:hangingChars="201" w:hanging="422"/>
        <w:jc w:val="left"/>
      </w:pPr>
      <w:r w:rsidRPr="006477D0">
        <w:t>1-6</w:t>
      </w:r>
      <w:r w:rsidR="00936988">
        <w:t xml:space="preserve"> </w:t>
      </w:r>
      <w:r w:rsidRPr="006477D0">
        <w:t>シーケンサー本体の寸法は、横幅</w:t>
      </w:r>
      <w:r w:rsidRPr="006477D0">
        <w:t xml:space="preserve">50cm x </w:t>
      </w:r>
      <w:r w:rsidRPr="006477D0">
        <w:t>奥行</w:t>
      </w:r>
      <w:r w:rsidRPr="006477D0">
        <w:t xml:space="preserve">65cm x </w:t>
      </w:r>
      <w:r w:rsidRPr="006477D0">
        <w:t>高さ</w:t>
      </w:r>
      <w:r w:rsidRPr="006477D0">
        <w:t>45cm</w:t>
      </w:r>
      <w:r w:rsidRPr="006477D0">
        <w:t>以内である。</w:t>
      </w:r>
    </w:p>
    <w:p w14:paraId="7F7BBBDE" w14:textId="77777777" w:rsidR="006010A0" w:rsidRPr="006477D0" w:rsidRDefault="006010A0" w:rsidP="006010A0">
      <w:pPr>
        <w:ind w:leftChars="1" w:left="424" w:hangingChars="201" w:hanging="422"/>
        <w:jc w:val="left"/>
        <w:rPr>
          <w:rFonts w:hint="eastAsia"/>
        </w:rPr>
      </w:pPr>
    </w:p>
    <w:p w14:paraId="2FEA5AC8" w14:textId="77777777" w:rsidR="006477D0" w:rsidRPr="006477D0" w:rsidRDefault="006477D0" w:rsidP="006010A0">
      <w:pPr>
        <w:ind w:leftChars="1" w:left="424" w:hangingChars="201" w:hanging="422"/>
        <w:jc w:val="left"/>
      </w:pPr>
      <w:r w:rsidRPr="006477D0">
        <w:t xml:space="preserve">(2) </w:t>
      </w:r>
      <w:r w:rsidRPr="006477D0">
        <w:t>制御解析用コンピュータ</w:t>
      </w:r>
    </w:p>
    <w:p w14:paraId="4CA96D44" w14:textId="71F0DCC5" w:rsidR="006477D0" w:rsidRPr="006477D0" w:rsidRDefault="006477D0" w:rsidP="00936988">
      <w:pPr>
        <w:ind w:leftChars="135" w:left="422" w:hangingChars="66" w:hanging="139"/>
        <w:jc w:val="left"/>
      </w:pPr>
      <w:r w:rsidRPr="006477D0">
        <w:t>2-1</w:t>
      </w:r>
      <w:r w:rsidR="00936988">
        <w:t xml:space="preserve"> </w:t>
      </w:r>
      <w:r w:rsidRPr="006477D0">
        <w:t>機器の制御や解析用の各ソフトウェアの動作が確認されている。</w:t>
      </w:r>
    </w:p>
    <w:p w14:paraId="1AD1B5E7" w14:textId="40525DC3" w:rsidR="006477D0" w:rsidRPr="006477D0" w:rsidRDefault="006477D0" w:rsidP="00936988">
      <w:pPr>
        <w:ind w:leftChars="135" w:left="422" w:hangingChars="66" w:hanging="139"/>
        <w:jc w:val="left"/>
      </w:pPr>
      <w:r w:rsidRPr="006477D0">
        <w:t>2-2</w:t>
      </w:r>
      <w:r w:rsidR="00936988">
        <w:t xml:space="preserve"> </w:t>
      </w:r>
      <w:r w:rsidRPr="006477D0">
        <w:t>OS</w:t>
      </w:r>
      <w:r w:rsidRPr="006477D0">
        <w:t>は</w:t>
      </w:r>
      <w:r w:rsidRPr="006477D0">
        <w:t>Windows10</w:t>
      </w:r>
      <w:r w:rsidRPr="006477D0">
        <w:t>以上の性能を有している。</w:t>
      </w:r>
    </w:p>
    <w:p w14:paraId="7A3C1D7B" w14:textId="32E3E6C5" w:rsidR="006477D0" w:rsidRPr="006477D0" w:rsidRDefault="006477D0" w:rsidP="00936988">
      <w:pPr>
        <w:ind w:leftChars="135" w:left="422" w:hangingChars="66" w:hanging="139"/>
        <w:jc w:val="left"/>
      </w:pPr>
      <w:r w:rsidRPr="006477D0">
        <w:t>2-3</w:t>
      </w:r>
      <w:r w:rsidR="00936988">
        <w:t xml:space="preserve"> </w:t>
      </w:r>
      <w:r w:rsidRPr="006477D0">
        <w:t>CPU</w:t>
      </w:r>
      <w:r w:rsidRPr="006477D0">
        <w:t>の性能は</w:t>
      </w:r>
      <w:r w:rsidRPr="006477D0">
        <w:t>Intel Core i7-8700</w:t>
      </w:r>
      <w:r w:rsidRPr="006477D0">
        <w:t>以上の処理速度を有している。</w:t>
      </w:r>
    </w:p>
    <w:p w14:paraId="6F43EB38" w14:textId="6C18E0BD" w:rsidR="006477D0" w:rsidRDefault="006477D0" w:rsidP="00936988">
      <w:pPr>
        <w:ind w:leftChars="135" w:left="422" w:hangingChars="66" w:hanging="139"/>
        <w:jc w:val="left"/>
      </w:pPr>
      <w:r w:rsidRPr="006477D0">
        <w:t>2-4</w:t>
      </w:r>
      <w:r w:rsidR="00936988">
        <w:t xml:space="preserve"> </w:t>
      </w:r>
      <w:r w:rsidRPr="006477D0">
        <w:t>ハードディスク容量が</w:t>
      </w:r>
      <w:r w:rsidRPr="006477D0">
        <w:t>500GB</w:t>
      </w:r>
      <w:r w:rsidRPr="006477D0">
        <w:t>以上である。</w:t>
      </w:r>
    </w:p>
    <w:p w14:paraId="62B20C36" w14:textId="77777777" w:rsidR="006010A0" w:rsidRPr="006477D0" w:rsidRDefault="006010A0" w:rsidP="006010A0">
      <w:pPr>
        <w:ind w:leftChars="1" w:left="424" w:hangingChars="201" w:hanging="422"/>
        <w:jc w:val="left"/>
        <w:rPr>
          <w:rFonts w:hint="eastAsia"/>
        </w:rPr>
      </w:pPr>
    </w:p>
    <w:p w14:paraId="1BA3C725" w14:textId="77777777" w:rsidR="006477D0" w:rsidRPr="006477D0" w:rsidRDefault="006477D0" w:rsidP="006010A0">
      <w:pPr>
        <w:ind w:leftChars="1" w:left="424" w:hangingChars="201" w:hanging="422"/>
        <w:jc w:val="left"/>
      </w:pPr>
      <w:r w:rsidRPr="006477D0">
        <w:t xml:space="preserve">(3) </w:t>
      </w:r>
      <w:r w:rsidRPr="006477D0">
        <w:t>ソフトウェア</w:t>
      </w:r>
    </w:p>
    <w:p w14:paraId="751B9D65" w14:textId="264BBB4B" w:rsidR="006477D0" w:rsidRPr="006477D0" w:rsidRDefault="006477D0" w:rsidP="00936988">
      <w:pPr>
        <w:ind w:leftChars="136" w:left="708" w:hangingChars="201" w:hanging="422"/>
        <w:jc w:val="left"/>
      </w:pPr>
      <w:r w:rsidRPr="006477D0">
        <w:t>3-1</w:t>
      </w:r>
      <w:r w:rsidR="00936988">
        <w:t xml:space="preserve"> </w:t>
      </w:r>
      <w:r w:rsidRPr="006477D0">
        <w:t>機器本体により収集されたデータから、塩基配列解析決定・編集・再解析を行う、シーケンス解析用ソフトウェアが付属している。</w:t>
      </w:r>
    </w:p>
    <w:p w14:paraId="3F722C6B" w14:textId="425CF54E" w:rsidR="006477D0" w:rsidRPr="006477D0" w:rsidRDefault="006477D0" w:rsidP="00936988">
      <w:pPr>
        <w:ind w:leftChars="136" w:left="708" w:hangingChars="201" w:hanging="422"/>
        <w:jc w:val="left"/>
      </w:pPr>
      <w:r w:rsidRPr="006477D0">
        <w:t>3-2</w:t>
      </w:r>
      <w:r w:rsidR="00936988">
        <w:t xml:space="preserve"> </w:t>
      </w:r>
      <w:r w:rsidRPr="006477D0">
        <w:t>機器本体により収集されたデータから、</w:t>
      </w:r>
      <w:r w:rsidRPr="006477D0">
        <w:t>DNA</w:t>
      </w:r>
      <w:r w:rsidRPr="006477D0">
        <w:t>フラグメントのサイズ・アレルコールを行う、ジェノタイピング解析用ソフトウェアが付属している。</w:t>
      </w:r>
    </w:p>
    <w:p w14:paraId="1A1EE11C" w14:textId="033B7FA4" w:rsidR="006477D0" w:rsidRPr="006477D0" w:rsidRDefault="006477D0" w:rsidP="00936988">
      <w:pPr>
        <w:ind w:leftChars="136" w:left="708" w:hangingChars="201" w:hanging="422"/>
        <w:jc w:val="left"/>
      </w:pPr>
      <w:r w:rsidRPr="006477D0">
        <w:t>3-3</w:t>
      </w:r>
      <w:r w:rsidR="00936988">
        <w:t xml:space="preserve"> </w:t>
      </w:r>
      <w:r w:rsidRPr="006477D0">
        <w:t>複数のサンプルファイルを短時間に簡単かつ高精度な変異解析を行う、リシーケンス用ソフトウェアが付属している。</w:t>
      </w:r>
    </w:p>
    <w:p w14:paraId="2DAEB9A7" w14:textId="1C9C62F0" w:rsidR="006477D0" w:rsidRDefault="006477D0" w:rsidP="00936988">
      <w:pPr>
        <w:ind w:leftChars="135" w:left="422" w:hangingChars="66" w:hanging="139"/>
        <w:jc w:val="left"/>
      </w:pPr>
      <w:r w:rsidRPr="006477D0">
        <w:t>3-4</w:t>
      </w:r>
      <w:r w:rsidR="00936988">
        <w:t xml:space="preserve"> </w:t>
      </w:r>
      <w:r w:rsidRPr="006477D0">
        <w:t>SNP</w:t>
      </w:r>
      <w:r w:rsidRPr="006477D0">
        <w:t>検出、ミューテーション解析用ソフトウェアが付属している。</w:t>
      </w:r>
    </w:p>
    <w:sectPr w:rsidR="006477D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ytrAwNjM0NDexMLJQ0lEKTi0uzszPAykwrAUACrERqSwAAAA="/>
  </w:docVars>
  <w:rsids>
    <w:rsidRoot w:val="006477D0"/>
    <w:rsid w:val="00151697"/>
    <w:rsid w:val="003B5A50"/>
    <w:rsid w:val="006010A0"/>
    <w:rsid w:val="00635288"/>
    <w:rsid w:val="006477D0"/>
    <w:rsid w:val="0065044E"/>
    <w:rsid w:val="007D0D35"/>
    <w:rsid w:val="00936988"/>
    <w:rsid w:val="00BD4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51CBA4"/>
  <w15:docId w15:val="{B6D4EFA2-7BB4-4C30-AB78-5D68973FC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51697"/>
  </w:style>
  <w:style w:type="character" w:customStyle="1" w:styleId="a4">
    <w:name w:val="日付 (文字)"/>
    <w:basedOn w:val="a0"/>
    <w:link w:val="a3"/>
    <w:uiPriority w:val="99"/>
    <w:semiHidden/>
    <w:rsid w:val="00151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AZU-021</dc:creator>
  <cp:lastModifiedBy>中野　嘉子</cp:lastModifiedBy>
  <cp:revision>6</cp:revision>
  <cp:lastPrinted>2022-11-18T09:33:00Z</cp:lastPrinted>
  <dcterms:created xsi:type="dcterms:W3CDTF">2022-10-03T01:53:00Z</dcterms:created>
  <dcterms:modified xsi:type="dcterms:W3CDTF">2022-11-18T09:39:00Z</dcterms:modified>
</cp:coreProperties>
</file>